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6"/>
        <w:spacing w:line="300" w:lineRule="auto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</w:r>
      <w:r>
        <w:rPr>
          <w:noProof/>
        </w:rPr>
        <w:drawing>
          <wp:inline distT="0" distB="0" distL="0" distR="0">
            <wp:extent cx="4871720" cy="3599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ВДС.jpg"/>
                    <pic:cNvPicPr>
                      <a:picLocks noChangeAspect="1"/>
                      <a:extLst>
                        <a:ext uri="smNativeData">
                          <sm:smNativeData xmlns:sm="smNativeData" val="SMDATA_17_+JoK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+B0AACUW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35998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</w:r>
      <w:r>
        <w:rPr>
          <w:b/>
          <w:sz w:val="28"/>
          <w:szCs w:val="28"/>
        </w:rPr>
      </w:r>
    </w:p>
    <w:p>
      <w:pPr>
        <w:pStyle w:val="para6"/>
        <w:spacing w:line="300" w:lineRule="auto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Религиозная организация – духовная образовательная организация высшего образования «Владимирская Свято-Феофановская</w:t>
      </w:r>
      <w:r>
        <w:rPr>
          <w:b/>
          <w:sz w:val="28"/>
          <w:szCs w:val="28"/>
        </w:rPr>
        <w:t xml:space="preserve"> духовная семинария города Владимира Владимирской епархии Русской Православной Церкви»</w:t>
      </w:r>
      <w:r>
        <w:rPr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БЛАГОСЛОВЕНИЮ МИТРОПОЛИТА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И СУЗДАЛЬСКОГО ТИХОНА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КОМИТЕТА РУССКОЙ ПРАВОСЛАВНОЙ ЦЕРКВИ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24-25 марта 2022 г.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СВЯТО-ФЕОФАНОВСКАЯ ДУХОВНАЯ СЕМИНАРИЯ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>
      <w:pPr>
        <w:pStyle w:val="par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четвертую всероссийскую научно-богословскую конференцию</w:t>
      </w:r>
    </w:p>
    <w:p>
      <w:pPr>
        <w:pStyle w:val="para6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«НАСЛЕДИЕ ХРИСТИАНСКОЙ ЦЕРКВИ: </w:t>
      </w:r>
    </w:p>
    <w:p>
      <w:pPr>
        <w:pStyle w:val="para6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БОГОСЛОВИЕ, ИСТОРИЯ, КУЛЬТУРА», </w:t>
      </w:r>
    </w:p>
    <w:p>
      <w:pPr>
        <w:pStyle w:val="para6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посвященную </w:t>
      </w:r>
      <w:r>
        <w:rPr>
          <w:b/>
          <w:sz w:val="28"/>
          <w:szCs w:val="28"/>
          <w:shd w:val="clear" w:fill="ffffff"/>
        </w:rPr>
        <w:t>250-летию со дня рождения М.М. Сперанского</w:t>
      </w:r>
      <w:r>
        <w:rPr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конференции – презентация научных исследований и обсуждение дискуссионных проблем в области богословия, наук о Церкви, агиографии, истории, культурологии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смежных дисциплин.</w:t>
      </w:r>
      <w:r>
        <w:rPr>
          <w:sz w:val="28"/>
          <w:szCs w:val="28"/>
        </w:rPr>
      </w:r>
    </w:p>
    <w:p>
      <w:pPr>
        <w:pStyle w:val="para9"/>
        <w:ind w:firstLine="56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работе конференции приглашаются преподаватели и студенты духовных и светских учебных заведений, специалисты в области церковно-исторических и богословских дисциплин.</w:t>
      </w:r>
    </w:p>
    <w:p>
      <w:pPr>
        <w:pStyle w:val="para9"/>
        <w:ind w:firstLine="567"/>
        <w:spacing w:before="12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направления работы конференции: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библеистика и библейская история;</w:t>
      </w:r>
      <w:r>
        <w:rPr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богословие и патрология;</w:t>
      </w:r>
      <w:r>
        <w:rPr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общецерковная история;</w:t>
      </w:r>
      <w:r>
        <w:rPr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Церкви в контексте всеобщей и российской истории;</w:t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литургика и литургическое богословие;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воспитание и образование;</w:t>
      </w:r>
      <w:r>
        <w:rPr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христианская культурная традиция;</w:t>
      </w:r>
      <w:r>
        <w:rPr>
          <w:sz w:val="28"/>
          <w:szCs w:val="28"/>
        </w:rPr>
      </w:r>
    </w:p>
    <w:p>
      <w:pPr>
        <w:pStyle w:val="para12"/>
        <w:numPr>
          <w:ilvl w:val="1"/>
          <w:numId w:val="1"/>
        </w:numPr>
        <w:ind w:left="1080" w:hanging="51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Церковно-государственные отношения;</w:t>
      </w:r>
      <w:r>
        <w:rPr>
          <w:sz w:val="28"/>
          <w:szCs w:val="28"/>
        </w:rPr>
      </w:r>
    </w:p>
    <w:p>
      <w:pPr>
        <w:pStyle w:val="para9"/>
        <w:numPr>
          <w:ilvl w:val="1"/>
          <w:numId w:val="1"/>
        </w:numPr>
        <w:ind w:left="1077" w:hanging="510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межконфессиональные отношения.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ara8"/>
        <w:ind w:firstLine="567"/>
        <w:spacing w:after="0" w:line="276" w:lineRule="auto"/>
        <w:jc w:val="both"/>
        <w:rPr>
          <w:sz w:val="28"/>
          <w:szCs w:val="28"/>
        </w:rPr>
      </w:pPr>
      <w:r>
        <w:rPr>
          <w:rStyle w:val="char3"/>
          <w:rFonts w:eastAsia="Times New Roman"/>
          <w:sz w:val="28"/>
          <w:szCs w:val="28"/>
          <w:shd w:val="clear" w:fill="auto"/>
          <w:lang w:eastAsia="ru-ru"/>
        </w:rPr>
        <w:t>Предполагается</w:t>
      </w:r>
      <w:r>
        <w:rPr>
          <w:rStyle w:val="char3"/>
          <w:rFonts w:eastAsia="Times New Roman"/>
          <w:sz w:val="28"/>
          <w:szCs w:val="28"/>
          <w:shd w:val="clear" w:fill="auto"/>
          <w:lang w:eastAsia="ru-ru"/>
        </w:rPr>
        <w:t xml:space="preserve"> </w:t>
      </w:r>
      <w:r>
        <w:rPr>
          <w:rStyle w:val="char4"/>
          <w:rFonts w:eastAsia="Times New Roman"/>
          <w:i/>
          <w:iCs/>
          <w:sz w:val="28"/>
          <w:szCs w:val="28"/>
          <w:u w:color="auto" w:val="single"/>
          <w:shd w:val="clear" w:fill="auto"/>
          <w:lang w:eastAsia="ru-ru"/>
        </w:rPr>
        <w:t>очно-дистанционный</w:t>
      </w:r>
      <w:r>
        <w:rPr>
          <w:rStyle w:val="char4"/>
          <w:rFonts w:eastAsia="Times New Roman"/>
          <w:i/>
          <w:iCs/>
          <w:sz w:val="28"/>
          <w:szCs w:val="28"/>
          <w:u w:color="auto" w:val="single"/>
          <w:shd w:val="clear" w:fill="auto"/>
          <w:lang w:eastAsia="ru-ru"/>
        </w:rPr>
        <w:t xml:space="preserve"> формат</w:t>
      </w:r>
      <w:r>
        <w:rPr>
          <w:rStyle w:val="char3"/>
          <w:rFonts w:eastAsia="Times New Roman"/>
          <w:sz w:val="28"/>
          <w:szCs w:val="28"/>
          <w:shd w:val="clear" w:fill="auto"/>
          <w:lang w:eastAsia="ru-ru"/>
        </w:rPr>
        <w:t xml:space="preserve"> проведения конференции.</w:t>
      </w:r>
      <w:r>
        <w:rPr>
          <w:b w:val="0"/>
          <w:bCs w:val="0"/>
          <w:sz w:val="28"/>
          <w:szCs w:val="28"/>
        </w:rPr>
        <w:t xml:space="preserve"> Возможно участие по сети Интернет </w:t>
      </w:r>
      <w:r>
        <w:rPr>
          <w:b w:val="0"/>
          <w:bCs w:val="0"/>
          <w:sz w:val="28"/>
          <w:szCs w:val="28"/>
          <w:lang w:val="en-us" w:eastAsia="en-us"/>
        </w:rPr>
        <w:t>c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</w:rPr>
        <w:t xml:space="preserve">использованием платформы </w:t>
      </w:r>
      <w:r>
        <w:rPr>
          <w:b w:val="0"/>
          <w:bCs w:val="0"/>
          <w:sz w:val="28"/>
          <w:szCs w:val="28"/>
          <w:lang w:val="en-us" w:eastAsia="en-us"/>
        </w:rPr>
        <w:t>Zoom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i/>
          <w:sz w:val="28"/>
          <w:szCs w:val="28"/>
        </w:rPr>
        <w:t>(ссылка будет сформирована и разослана накануне проведения мероприятия)</w:t>
      </w:r>
      <w:r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56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конференции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2"/>
        <w:ind w:right="57" w:firstLine="567"/>
        <w:spacing w:before="0" w:after="0"/>
        <w:rPr>
          <w:sz w:val="28"/>
          <w:szCs w:val="28"/>
        </w:rPr>
      </w:pPr>
      <w:r>
        <w:rPr>
          <w:rStyle w:val="char10"/>
          <w:color w:val="000000"/>
          <w:sz w:val="28"/>
          <w:szCs w:val="28"/>
          <w:lang w:val="ru-ru" w:eastAsia="ru-ru"/>
        </w:rPr>
        <w:t xml:space="preserve">Желающим принять участие в конференции необходимо отправить заполненную заявку </w:t>
      </w:r>
      <w:r>
        <w:rPr>
          <w:rStyle w:val="char11"/>
          <w:color w:val="000000"/>
          <w:sz w:val="28"/>
          <w:szCs w:val="28"/>
          <w:lang w:eastAsia="ru-ru"/>
        </w:rPr>
        <w:t>до 1 ма</w:t>
      </w:r>
      <w:r>
        <w:rPr>
          <w:rStyle w:val="char11"/>
          <w:color w:val="000000"/>
          <w:sz w:val="28"/>
          <w:szCs w:val="28"/>
          <w:lang w:eastAsia="ru-ru"/>
        </w:rPr>
        <w:t>рта</w:t>
      </w:r>
      <w:r>
        <w:rPr>
          <w:rStyle w:val="char11"/>
          <w:color w:val="000000"/>
          <w:sz w:val="28"/>
          <w:szCs w:val="28"/>
          <w:lang w:eastAsia="ru-ru"/>
        </w:rPr>
        <w:t xml:space="preserve"> 202</w:t>
      </w:r>
      <w:r>
        <w:rPr>
          <w:rStyle w:val="char11"/>
          <w:color w:val="000000"/>
          <w:sz w:val="28"/>
          <w:szCs w:val="28"/>
          <w:lang w:eastAsia="ru-ru"/>
        </w:rPr>
        <w:t>2</w:t>
      </w:r>
      <w:r>
        <w:rPr>
          <w:rStyle w:val="char11"/>
          <w:color w:val="000000"/>
          <w:sz w:val="28"/>
          <w:szCs w:val="28"/>
          <w:lang w:eastAsia="ru-ru"/>
        </w:rPr>
        <w:t xml:space="preserve"> г.</w:t>
      </w:r>
      <w:r>
        <w:rPr>
          <w:rStyle w:val="char10"/>
          <w:color w:val="000000"/>
          <w:sz w:val="28"/>
          <w:szCs w:val="28"/>
          <w:lang w:val="ru-ru" w:eastAsia="ru-ru"/>
        </w:rPr>
        <w:t xml:space="preserve"> (включительно) на электронный адрес:</w:t>
      </w:r>
      <w:r>
        <w:rPr>
          <w:rStyle w:val="char10"/>
          <w:color w:val="000000"/>
          <w:sz w:val="28"/>
          <w:szCs w:val="28"/>
          <w:lang w:val="ru-ru" w:eastAsia="ru-ru"/>
        </w:rPr>
        <w:t xml:space="preserve"> </w:t>
      </w:r>
      <w:hyperlink r:id="rId9" w:history="1">
        <w:r>
          <w:rPr>
            <w:color w:val="000080"/>
            <w:sz w:val="28"/>
            <w:szCs w:val="28"/>
            <w:lang w:val="en-us" w:eastAsia="ru-ru"/>
          </w:rPr>
          <w:t>vds</w:t>
        </w:r>
        <w:r>
          <w:rPr>
            <w:color w:val="000080"/>
            <w:sz w:val="28"/>
            <w:szCs w:val="28"/>
            <w:lang w:eastAsia="ru-ru"/>
          </w:rPr>
          <w:t>.</w:t>
        </w:r>
        <w:r>
          <w:rPr>
            <w:color w:val="000080"/>
            <w:sz w:val="28"/>
            <w:szCs w:val="28"/>
            <w:lang w:val="en-us" w:eastAsia="ru-ru"/>
          </w:rPr>
          <w:t>confer</w:t>
        </w:r>
        <w:r>
          <w:rPr>
            <w:color w:val="000080"/>
            <w:sz w:val="28"/>
            <w:szCs w:val="28"/>
            <w:lang w:eastAsia="ru-ru"/>
          </w:rPr>
          <w:t>@</w:t>
        </w:r>
        <w:r>
          <w:rPr>
            <w:color w:val="000080"/>
            <w:sz w:val="28"/>
            <w:szCs w:val="28"/>
            <w:lang w:val="en-us" w:eastAsia="ru-ru"/>
          </w:rPr>
          <w:t>mail</w:t>
        </w:r>
        <w:r>
          <w:rPr>
            <w:color w:val="000080"/>
            <w:sz w:val="28"/>
            <w:szCs w:val="28"/>
            <w:lang w:eastAsia="ru-ru"/>
          </w:rPr>
          <w:t>.</w:t>
        </w:r>
        <w:r>
          <w:rPr>
            <w:color w:val="000080"/>
            <w:sz w:val="28"/>
            <w:szCs w:val="28"/>
            <w:lang w:eastAsia="ru-ru"/>
          </w:rPr>
          <w:t>ru</w:t>
        </w:r>
      </w:hyperlink>
    </w:p>
    <w:tbl>
      <w:tblPr>
        <w:tblStyle w:val="TableGrid"/>
        <w:name w:val="Таблица1"/>
        <w:tabOrder w:val="0"/>
        <w:jc w:val="left"/>
        <w:tblInd w:w="0" w:type="dxa"/>
        <w:tblW w:w="9853" w:type="dxa"/>
        <w:tblLook w:val="04A0" w:firstRow="1" w:lastRow="0" w:firstColumn="1" w:lastColumn="0" w:noHBand="0" w:noVBand="1"/>
      </w:tblPr>
      <w:tblGrid>
        <w:gridCol w:w="623"/>
        <w:gridCol w:w="4615"/>
        <w:gridCol w:w="4615"/>
      </w:tblGrid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Ф.И.О. (полностью)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Город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10"/>
              <w:spacing w:after="0" w:line="240" w:lineRule="aut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(полностью, без аббревиатур)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Должность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Ученая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степень и </w:t>
            </w:r>
            <w:r>
              <w:rPr>
                <w:sz w:val="24"/>
                <w:szCs w:val="24"/>
                <w:lang w:val="en-us"/>
              </w:rPr>
              <w:t>звание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Почтовый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 w:percent="96"/>
                <w:sz w:val="24"/>
                <w:szCs w:val="24"/>
                <w:lang w:val="en-us"/>
              </w:rPr>
              <w:t>адрес (</w:t>
            </w:r>
            <w:r>
              <w:rPr>
                <w:spacing w:val="-4" w:percent="96"/>
                <w:sz w:val="24"/>
                <w:szCs w:val="24"/>
              </w:rPr>
              <w:t xml:space="preserve">с </w:t>
            </w:r>
            <w:r>
              <w:rPr>
                <w:spacing w:val="-3" w:percent="97"/>
                <w:sz w:val="24"/>
                <w:szCs w:val="24"/>
                <w:lang w:val="en-us"/>
              </w:rPr>
              <w:t>индекс</w:t>
            </w:r>
            <w:r>
              <w:rPr>
                <w:spacing w:val="-3" w:percent="97"/>
                <w:sz w:val="24"/>
                <w:szCs w:val="24"/>
              </w:rPr>
              <w:t>ом</w:t>
            </w:r>
            <w:r>
              <w:rPr>
                <w:spacing w:val="-3" w:percent="97"/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pacing w:val="-3" w:percent="97"/>
                <w:sz w:val="24"/>
                <w:szCs w:val="24"/>
                <w:lang w:val="en-us"/>
              </w:rPr>
              <w:t>Тема</w:t>
            </w:r>
            <w:r>
              <w:rPr>
                <w:spacing w:val="-3" w:percent="97"/>
                <w:sz w:val="24"/>
                <w:szCs w:val="24"/>
              </w:rPr>
              <w:t xml:space="preserve"> </w:t>
            </w:r>
            <w:r>
              <w:rPr>
                <w:spacing w:val="-3" w:percent="97"/>
                <w:sz w:val="24"/>
                <w:szCs w:val="24"/>
                <w:lang w:val="en-us"/>
              </w:rPr>
              <w:t>доклада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Контактный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автора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 автора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10"/>
              <w:spacing w:after="0" w:line="240" w:lineRule="auto"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(очный; дистанционный)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</w:t>
              <w:tab/>
            </w:r>
            <w:r>
              <w:rPr>
                <w:spacing w:val="-3" w:percent="97"/>
                <w:sz w:val="24"/>
                <w:szCs w:val="24"/>
              </w:rPr>
              <w:t xml:space="preserve">размещении </w:t>
            </w:r>
            <w:r>
              <w:rPr>
                <w:i/>
                <w:sz w:val="24"/>
                <w:szCs w:val="24"/>
              </w:rPr>
              <w:t>(да; нет)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случае положительного ответа </w:t>
            </w:r>
            <w:r>
              <w:rPr>
                <w:sz w:val="24"/>
                <w:szCs w:val="24"/>
              </w:rPr>
              <w:t>указать точные даты пребывания)</w:t>
            </w:r>
            <w:r>
              <w:rPr>
                <w:sz w:val="24"/>
                <w:szCs w:val="24"/>
              </w:rPr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23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нужна ли пересылка печатной версии сборника</w:t>
            </w:r>
          </w:p>
        </w:tc>
        <w:tc>
          <w:tcPr>
            <w:tcW w:w="4615" w:type="dxa"/>
            <w:tmTcPr id="1644862200" protected="0"/>
          </w:tcPr>
          <w:p>
            <w:pPr>
              <w:pStyle w:val="para2"/>
              <w:ind w:right="57" w:firstLine="0"/>
              <w:spacing w:before="0"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para2"/>
        <w:ind w:right="57" w:firstLine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Организаторы берут на себя расходы по проживанию и питанию участников; расходы за проезд – за счет направляющей стороны.</w:t>
      </w:r>
    </w:p>
    <w:p>
      <w:pPr>
        <w:ind w:firstLine="56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 выступления – 15 минут, на секциях предполагается обсуждение докладов.</w:t>
      </w:r>
    </w:p>
    <w:p>
      <w:pPr>
        <w:ind w:firstLine="56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 конференции будет выдан сертификат участника. По результатам работы планируется издание сборника материалов конференции </w:t>
      </w:r>
      <w:r>
        <w:rPr>
          <w:rStyle w:val="char8"/>
          <w:b w:val="0"/>
          <w:color w:val="000000"/>
          <w:sz w:val="28"/>
          <w:szCs w:val="28"/>
          <w:lang w:eastAsia="ru-ru"/>
        </w:rPr>
        <w:t>с размещением в РИНЦ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56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Текст статьи принимается до </w:t>
      </w:r>
      <w:r>
        <w:rPr>
          <w:rFonts w:ascii="Times New Roman" w:hAnsi="Times New Roman"/>
          <w:b/>
          <w:color w:val="000000"/>
          <w:sz w:val="28"/>
          <w:szCs w:val="28"/>
        </w:rPr>
        <w:t>30 марта 2022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>
          <w:rPr>
            <w:rFonts w:ascii="Times New Roman" w:hAnsi="Times New Roman" w:cs="Times New Roman"/>
            <w:color w:val="000080"/>
            <w:sz w:val="28"/>
            <w:szCs w:val="28"/>
            <w:lang w:val="en-us" w:eastAsia="ru-ru"/>
          </w:rPr>
          <w:t>vds</w:t>
        </w:r>
        <w:r>
          <w:rPr>
            <w:rFonts w:ascii="Times New Roman" w:hAnsi="Times New Roman" w:cs="Times New Roman"/>
            <w:color w:val="000080"/>
            <w:sz w:val="28"/>
            <w:szCs w:val="28"/>
            <w:lang w:eastAsia="ru-ru"/>
          </w:rPr>
          <w:t>.</w:t>
        </w:r>
        <w:r>
          <w:rPr>
            <w:rFonts w:ascii="Times New Roman" w:hAnsi="Times New Roman" w:cs="Times New Roman"/>
            <w:color w:val="000080"/>
            <w:sz w:val="28"/>
            <w:szCs w:val="28"/>
            <w:lang w:val="en-us" w:eastAsia="ru-ru"/>
          </w:rPr>
          <w:t>confer</w:t>
        </w:r>
        <w:r>
          <w:rPr>
            <w:rFonts w:ascii="Times New Roman" w:hAnsi="Times New Roman" w:cs="Times New Roman"/>
            <w:color w:val="000080"/>
            <w:sz w:val="28"/>
            <w:szCs w:val="28"/>
            <w:lang w:eastAsia="ru-ru"/>
          </w:rPr>
          <w:t>@</w:t>
        </w:r>
        <w:r>
          <w:rPr>
            <w:rFonts w:ascii="Times New Roman" w:hAnsi="Times New Roman" w:cs="Times New Roman"/>
            <w:color w:val="000080"/>
            <w:sz w:val="28"/>
            <w:szCs w:val="28"/>
            <w:lang w:val="en-us" w:eastAsia="ru-ru"/>
          </w:rPr>
          <w:t>mail</w:t>
        </w:r>
        <w:r>
          <w:rPr>
            <w:rFonts w:ascii="Times New Roman" w:hAnsi="Times New Roman" w:cs="Times New Roman"/>
            <w:color w:val="000080"/>
            <w:sz w:val="28"/>
            <w:szCs w:val="28"/>
            <w:lang w:eastAsia="ru-ru"/>
          </w:rPr>
          <w:t>.</w:t>
        </w:r>
        <w:r>
          <w:rPr>
            <w:rFonts w:ascii="Times New Roman" w:hAnsi="Times New Roman" w:cs="Times New Roman"/>
            <w:color w:val="000080"/>
            <w:sz w:val="28"/>
            <w:szCs w:val="28"/>
            <w:lang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>Контактное лицо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и.о. проректора по научно-богословской работе Владимирской Свято-Феофановской духовной семинарии </w:t>
      </w:r>
      <w:r>
        <w:rPr>
          <w:rFonts w:ascii="Times New Roman" w:hAnsi="Times New Roman" w:cs="Times New Roman"/>
          <w:i/>
          <w:sz w:val="28"/>
          <w:szCs w:val="28"/>
        </w:rPr>
        <w:t>Абрамов Алексей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тел. +7 904 652 85 69;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vds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confer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статьи</w:t>
      </w:r>
      <w:r>
        <w:rPr>
          <w:sz w:val="28"/>
          <w:szCs w:val="28"/>
        </w:rPr>
      </w:r>
    </w:p>
    <w:p>
      <w:pPr>
        <w:ind w:firstLine="567"/>
        <w:spacing w:after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текста для публикации – до 20 тыс. знаков (включая пробелы).</w:t>
      </w:r>
      <w:r>
        <w:rPr>
          <w:sz w:val="28"/>
          <w:szCs w:val="28"/>
        </w:rPr>
      </w:r>
    </w:p>
    <w:p>
      <w:pPr>
        <w:ind w:firstLine="567"/>
        <w:spacing w:after="0"/>
        <w:rPr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Формат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MS Office (doc,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docx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rtf).</w:t>
      </w:r>
      <w:r>
        <w:rPr>
          <w:sz w:val="28"/>
          <w:szCs w:val="28"/>
          <w:lang w:val="en-us"/>
        </w:rPr>
      </w:r>
    </w:p>
    <w:p>
      <w:pPr>
        <w:ind w:firstLine="567"/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auto" w:val="single"/>
        </w:rPr>
        <w:t>Статья должна иметь следующую структуру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sz w:val="28"/>
          <w:szCs w:val="28"/>
        </w:rPr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Имя автора – набирается полужирным курсивом (14-м кеглем):</w:t>
      </w:r>
      <w:r>
        <w:rPr>
          <w:sz w:val="28"/>
          <w:szCs w:val="28"/>
        </w:rPr>
      </w:r>
    </w:p>
    <w:p>
      <w:pPr>
        <w:numPr>
          <w:ilvl w:val="0"/>
          <w:numId w:val="3"/>
        </w:numPr>
        <w:ind w:left="709" w:hanging="369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светских авторов: фамилия, имя, отчество автора (соавтора) полностью;</w:t>
      </w:r>
      <w:r>
        <w:rPr>
          <w:sz w:val="28"/>
          <w:szCs w:val="28"/>
        </w:rPr>
      </w:r>
    </w:p>
    <w:p>
      <w:pPr>
        <w:numPr>
          <w:ilvl w:val="0"/>
          <w:numId w:val="3"/>
        </w:numPr>
        <w:ind w:left="709" w:hanging="369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священнослужителей: сан, имя (в светском написании), отчество, фамилия автора (соавтора) полностью;</w:t>
      </w:r>
      <w:r>
        <w:rPr>
          <w:sz w:val="28"/>
          <w:szCs w:val="28"/>
        </w:rPr>
      </w:r>
    </w:p>
    <w:p>
      <w:pPr>
        <w:numPr>
          <w:ilvl w:val="0"/>
          <w:numId w:val="3"/>
        </w:numPr>
        <w:ind w:left="709" w:hanging="369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монашествующих: сан (при наличии), монашеское имя, далее в скобках – светские фамилия, имя, отчество автора (соавтора) полностью.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Данные автора – набирается полужирным курсивом (14-м кеглем):</w:t>
      </w:r>
      <w:r>
        <w:rPr>
          <w:sz w:val="28"/>
          <w:szCs w:val="28"/>
        </w:rPr>
      </w:r>
    </w:p>
    <w:p>
      <w:pPr>
        <w:numPr>
          <w:ilvl w:val="0"/>
          <w:numId w:val="6"/>
        </w:numPr>
        <w:ind w:left="709" w:hanging="369"/>
        <w:spacing w:after="0" w:line="240" w:lineRule="auto"/>
        <w:jc w:val="both"/>
        <w:tabs defTabSz="708">
          <w:tab w:val="left" w:pos="709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ученое звание, научная степень;</w:t>
      </w:r>
      <w:r>
        <w:rPr>
          <w:sz w:val="28"/>
          <w:szCs w:val="28"/>
        </w:rPr>
      </w:r>
    </w:p>
    <w:p>
      <w:pPr>
        <w:numPr>
          <w:ilvl w:val="0"/>
          <w:numId w:val="6"/>
        </w:numPr>
        <w:ind w:left="709" w:hanging="369"/>
        <w:spacing w:after="0" w:line="240" w:lineRule="auto"/>
        <w:jc w:val="both"/>
        <w:tabs defTabSz="708">
          <w:tab w:val="left" w:pos="709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должность, место работы;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Название статьи  – набирается строчными буквами полужирным начертанием (Caps отключен) 14-м кеглем.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Аннотация  – 8-10 предложений (объемом примерно 1000 знаков), в которых изложены цель, задачи, методы и результаты работы, обозначены новизна и актуальность исследования – набирается 10-м кеглем.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Ключевые слова  – 5-8 слов, характеризующих статью, по которым она будет индексироваться в электронных базах данных (набираются 10-м кеглем; термин «ключевые слова» набирается прямым жирным шрифтом).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Данные автора, название, аннотация и ключевые слова должны быть переведены на английский язык.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Текст статьи оформляется на листе с полями (все  – по 2 см), 14 -м кеглем, шрифт TimesNewRoman, с полуторным межстрочным интервалом. Ссылки на литературу помещаются в основном тексте в соответствии с ГОСТ Р 7.05-2008: в квадратных скобках – номер источника в списке литературы, через запятую номер страницы. Например: [7, с. 61].</w:t>
      </w:r>
      <w:r>
        <w:rPr>
          <w:sz w:val="28"/>
          <w:szCs w:val="28"/>
        </w:rPr>
      </w:r>
    </w:p>
    <w:p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Список литературы в алфавитном порядке помещается после основного текста, охватывает все документы, использованные при написании статьи. В список включаются библиографические записи документов, оформленные в соответствии с действующими стандартами:</w:t>
      </w:r>
      <w:r>
        <w:rPr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ГОСТ 7.0.100-2018. Библиографическая запись. Библиографическое описание.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требования и правила составления.</w:t>
      </w:r>
      <w:r>
        <w:rPr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ind w:firstLine="567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Образец оформления публикации</w:t>
      </w:r>
    </w:p>
    <w:p>
      <w:pPr>
        <w:spacing w:before="240" w:after="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Петров Петр Петрович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канд. ист. наук, доцент, доцент кафедры богословия и библеистики Владимирской Свято-Феофановской духовной семинарии, 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РФ, г. Владимир</w:t>
      </w:r>
    </w:p>
    <w:p>
      <w:pPr>
        <w:spacing w:after="6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ЗАГОЛОВОК СТАТЬИ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Аннотация: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Цель и задачи. Метод. Результат. Выводы.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u w:color="auto"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fill="ffffff"/>
        </w:rPr>
        <w:t>ключевое слово; ключевое слово; ключевое слово.</w:t>
      </w:r>
      <w:r>
        <w:rPr>
          <w:rFonts w:ascii="Times New Roman" w:hAnsi="Times New Roman" w:cs="Times New Roman"/>
          <w:i/>
          <w:iCs/>
          <w:sz w:val="20"/>
          <w:szCs w:val="20"/>
          <w:u w:color="auto" w:val="single"/>
        </w:rPr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</w:p>
    <w:p>
      <w:pPr>
        <w:pStyle w:val="para12"/>
        <w:ind w:left="0"/>
        <w:spacing w:before="240" w:after="6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Petrov P.</w:t>
      </w:r>
    </w:p>
    <w:p>
      <w:pPr>
        <w:pStyle w:val="para12"/>
        <w:spacing w:before="240" w:after="0" w:line="36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val="en-us" w:eastAsia="ru-ru"/>
        </w:rPr>
        <w:t>PhD, Associate Professor, Associate Professor of Theology and Bibl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i/>
          <w:sz w:val="28"/>
          <w:szCs w:val="28"/>
          <w:lang w:val="en-us" w:eastAsia="ru-ru"/>
        </w:rPr>
        <w:t xml:space="preserve"> Studies, Vladimir Theological Seminary,</w:t>
      </w:r>
      <w:r>
        <w:rPr>
          <w:rFonts w:ascii="Times New Roman" w:hAnsi="Times New Roman" w:eastAsia="Times New Roman" w:cs="Times New Roman"/>
          <w:i/>
          <w:sz w:val="28"/>
          <w:szCs w:val="28"/>
          <w:lang w:val="en-us" w:eastAsia="ru-ru"/>
        </w:rPr>
      </w:r>
    </w:p>
    <w:p>
      <w:pPr>
        <w:pStyle w:val="para12"/>
        <w:ind w:left="0"/>
        <w:spacing w:before="240" w:after="0" w:line="36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Russian Federation, Vladimir</w:t>
      </w:r>
    </w:p>
    <w:p>
      <w:pPr>
        <w:pStyle w:val="para12"/>
        <w:ind w:left="0"/>
        <w:spacing w:after="0" w:line="360" w:lineRule="auto"/>
        <w:jc w:val="right"/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en-us" w:eastAsia="ru-ru"/>
        </w:rPr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Abstract: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Background. Methods. Result. Conclusion.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keyword; keyword; keyword.</w:t>
      </w:r>
    </w:p>
    <w:p>
      <w:pPr>
        <w:pStyle w:val="para12"/>
        <w:ind w:left="0" w:firstLine="709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pStyle w:val="para12"/>
        <w:ind w:left="0" w:firstLine="56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 или «ссылка» [1, с. 35]. Текст статьи. Те</w:t>
      </w:r>
      <w:r>
        <w:rPr>
          <w:rFonts w:ascii="Times New Roman" w:hAnsi="Times New Roman" w:cs="Times New Roman"/>
          <w:sz w:val="28"/>
          <w:szCs w:val="28"/>
        </w:rPr>
        <w:t>кст ст</w:t>
      </w:r>
      <w:r>
        <w:rPr>
          <w:rFonts w:ascii="Times New Roman" w:hAnsi="Times New Roman" w:cs="Times New Roman"/>
          <w:sz w:val="28"/>
          <w:szCs w:val="28"/>
        </w:rPr>
        <w:t>атьи. Те</w:t>
      </w:r>
      <w:r>
        <w:rPr>
          <w:rFonts w:ascii="Times New Roman" w:hAnsi="Times New Roman" w:cs="Times New Roman"/>
          <w:sz w:val="28"/>
          <w:szCs w:val="28"/>
        </w:rPr>
        <w:t>кст ст</w:t>
      </w:r>
      <w:r>
        <w:rPr>
          <w:rFonts w:ascii="Times New Roman" w:hAnsi="Times New Roman" w:cs="Times New Roman"/>
          <w:sz w:val="28"/>
          <w:szCs w:val="28"/>
        </w:rPr>
        <w:t>атьи. Те</w:t>
      </w:r>
      <w:r>
        <w:rPr>
          <w:rFonts w:ascii="Times New Roman" w:hAnsi="Times New Roman" w:cs="Times New Roman"/>
          <w:sz w:val="28"/>
          <w:szCs w:val="28"/>
        </w:rPr>
        <w:t>кст ст</w:t>
      </w:r>
      <w:r>
        <w:rPr>
          <w:rFonts w:ascii="Times New Roman" w:hAnsi="Times New Roman" w:cs="Times New Roman"/>
          <w:sz w:val="28"/>
          <w:szCs w:val="28"/>
        </w:rPr>
        <w:t>атьи.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2"/>
        <w:ind w:left="0" w:firstLine="567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Список литературы: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Десницкий А.С.</w:t>
      </w:r>
      <w:r>
        <w:rPr>
          <w:rFonts w:ascii="Times New Roman" w:hAnsi="Times New Roman" w:cs="Times New Roman"/>
          <w:sz w:val="28"/>
          <w:szCs w:val="28"/>
        </w:rPr>
        <w:t xml:space="preserve"> Метаморфозы власти и власть метафор апостола Павла // Ориенталистика. – 2018. – № 1. – С. 115-126.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Муравьев А.В. </w:t>
      </w:r>
      <w:r>
        <w:rPr>
          <w:rFonts w:ascii="Times New Roman" w:hAnsi="Times New Roman" w:cs="Times New Roman"/>
          <w:sz w:val="28"/>
          <w:szCs w:val="28"/>
        </w:rPr>
        <w:t>Христианский Восток накануне арабского завоевания. Сирийский мир и цивилизационные процессы в V–VI вв. н. э. – М.: Языки славянских культур, 2020. – 440 с.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Оргкомитет оставляет за собой право отклонять статьи, не соответствующие тематике конференции или оформленные без учета указанных требований.</w:t>
      </w:r>
      <w:r/>
      <w:bookmarkStart w:id="0" w:name="_GoBack"/>
      <w:r/>
      <w:bookmarkEnd w:id="0"/>
      <w:r/>
      <w:r>
        <w:rPr>
          <w:rFonts w:ascii="Times New Roman" w:hAnsi="Times New Roman" w:cs="Times New Roman"/>
          <w:i/>
          <w:i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8" w:top="1134" w:right="851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cc"/>
    <w:family w:val="swiss"/>
    <w:pitch w:val="default"/>
  </w:font>
  <w:font w:name="Arial Unicode MS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"/>
      <w:lvlJc w:val="left"/>
      <w:pPr>
        <w:ind w:left="360" w:hanging="0"/>
      </w:pPr>
      <w:rPr>
        <w:rFonts w:ascii="Times New Roman" w:hAnsi="Times New Roman" w:cs="Times New Roman"/>
        <w:sz w:val="28"/>
        <w:szCs w:val="28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/>
        <w:sz w:val="26"/>
        <w:szCs w:val="26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Symbol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"/>
      <w:lvlJc w:val="left"/>
      <w:pPr>
        <w:ind w:left="360" w:hanging="0"/>
      </w:pPr>
      <w:rPr>
        <w:rFonts w:ascii="Times New Roman" w:hAnsi="Times New Roman" w:cs="Times New Roman"/>
        <w:sz w:val="28"/>
        <w:szCs w:val="28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Symbol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Wingdings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 w:cs="Wingdings"/>
      </w:rPr>
    </w:lvl>
    <w:lvl w:ilvl="2">
      <w:numFmt w:val="bullet"/>
      <w:suff w:val="tab"/>
      <w:lvlText w:val=""/>
      <w:lvlJc w:val="left"/>
      <w:pPr>
        <w:ind w:left="1080" w:hanging="0"/>
      </w:pPr>
      <w:rPr>
        <w:rFonts w:ascii="Wingdings" w:hAnsi="Wingdings" w:cs="Wingdings"/>
      </w:rPr>
    </w:lvl>
    <w:lvl w:ilvl="3">
      <w:numFmt w:val="bullet"/>
      <w:suff w:val="tab"/>
      <w:lvlText w:val=""/>
      <w:lvlJc w:val="left"/>
      <w:pPr>
        <w:ind w:left="1440" w:hanging="0"/>
      </w:pPr>
      <w:rPr>
        <w:rFonts w:ascii="Wingdings" w:hAnsi="Wingdings" w:cs="Wingdings"/>
      </w:rPr>
    </w:lvl>
    <w:lvl w:ilvl="4">
      <w:numFmt w:val="bullet"/>
      <w:suff w:val="tab"/>
      <w:lvlText w:val=""/>
      <w:lvlJc w:val="left"/>
      <w:pPr>
        <w:ind w:left="1800" w:hanging="0"/>
      </w:pPr>
      <w:rPr>
        <w:rFonts w:ascii="Wingdings" w:hAnsi="Wingdings" w:cs="Wingdings"/>
      </w:rPr>
    </w:lvl>
    <w:lvl w:ilvl="5">
      <w:numFmt w:val="bullet"/>
      <w:suff w:val="tab"/>
      <w:lvlText w:val=""/>
      <w:lvlJc w:val="left"/>
      <w:pPr>
        <w:ind w:left="2160" w:hanging="0"/>
      </w:pPr>
      <w:rPr>
        <w:rFonts w:ascii="Wingdings" w:hAnsi="Wingdings" w:cs="Wingdings"/>
      </w:rPr>
    </w:lvl>
    <w:lvl w:ilvl="6">
      <w:numFmt w:val="bullet"/>
      <w:suff w:val="tab"/>
      <w:lvlText w:val=""/>
      <w:lvlJc w:val="left"/>
      <w:pPr>
        <w:ind w:left="2520" w:hanging="0"/>
      </w:pPr>
      <w:rPr>
        <w:rFonts w:ascii="Wingdings" w:hAnsi="Wingdings" w:cs="Wingdings"/>
      </w:rPr>
    </w:lvl>
    <w:lvl w:ilvl="7">
      <w:numFmt w:val="bullet"/>
      <w:suff w:val="tab"/>
      <w:lvlText w:val=""/>
      <w:lvlJc w:val="left"/>
      <w:pPr>
        <w:ind w:left="2880" w:hanging="0"/>
      </w:pPr>
      <w:rPr>
        <w:rFonts w:ascii="Wingdings" w:hAnsi="Wingdings" w:cs="Wingdings"/>
      </w:rPr>
    </w:lvl>
    <w:lvl w:ilvl="8">
      <w:numFmt w:val="bullet"/>
      <w:suff w:val="tab"/>
      <w:lvlText w:val=""/>
      <w:lvlJc w:val="left"/>
      <w:pPr>
        <w:ind w:left="3240" w:hanging="0"/>
      </w:pPr>
      <w:rPr>
        <w:rFonts w:ascii="Wingdings" w:hAnsi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"/>
      <w:lvlJc w:val="left"/>
      <w:pPr>
        <w:ind w:left="360" w:hanging="0"/>
      </w:pPr>
      <w:rPr>
        <w:rFonts w:ascii="Times New Roman" w:hAnsi="Times New Roman" w:cs="Times New Roman"/>
        <w:sz w:val="28"/>
        <w:szCs w:val="28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Symbol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"/>
      </w:rPr>
    </w:lvl>
  </w:abstractNum>
  <w:abstractNum w:abstractNumId="5">
    <w:multiLevelType w:val="hybridMultilevel"/>
    <w:name w:val="Нумерованный список 5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"/>
      <w:lvlJc w:val="left"/>
      <w:pPr>
        <w:ind w:left="644" w:hanging="0"/>
      </w:pPr>
      <w:rPr>
        <w:rFonts w:ascii="Wingdings" w:hAnsi="Wingdings" w:cs="Wingdings"/>
      </w:rPr>
    </w:lvl>
    <w:lvl w:ilvl="1">
      <w:numFmt w:val="bullet"/>
      <w:suff w:val="tab"/>
      <w:lvlText w:val="◦"/>
      <w:lvlJc w:val="left"/>
      <w:pPr>
        <w:ind w:left="1004" w:hanging="0"/>
      </w:pPr>
      <w:rPr>
        <w:rFonts w:ascii="OpenSymbol" w:hAnsi="OpenSymbol" w:cs="OpenSymbol"/>
      </w:rPr>
    </w:lvl>
    <w:lvl w:ilvl="2">
      <w:numFmt w:val="bullet"/>
      <w:suff w:val="tab"/>
      <w:lvlText w:val="▪"/>
      <w:lvlJc w:val="left"/>
      <w:pPr>
        <w:ind w:left="1364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724" w:hanging="0"/>
      </w:pPr>
      <w:rPr>
        <w:rFonts w:ascii="Symbol" w:hAnsi="Symbol" w:cs="Symbol"/>
      </w:rPr>
    </w:lvl>
    <w:lvl w:ilvl="4">
      <w:numFmt w:val="bullet"/>
      <w:suff w:val="tab"/>
      <w:lvlText w:val="◦"/>
      <w:lvlJc w:val="left"/>
      <w:pPr>
        <w:ind w:left="2084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444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804" w:hanging="0"/>
      </w:pPr>
      <w:rPr>
        <w:rFonts w:ascii="Symbol" w:hAnsi="Symbol" w:cs="Symbol"/>
      </w:rPr>
    </w:lvl>
    <w:lvl w:ilvl="7">
      <w:numFmt w:val="bullet"/>
      <w:suff w:val="tab"/>
      <w:lvlText w:val="◦"/>
      <w:lvlJc w:val="left"/>
      <w:pPr>
        <w:ind w:left="3164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524" w:hanging="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9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4862200" w:val="104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1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 Unicode MS"/>
      <w:sz w:val="28"/>
      <w:szCs w:val="28"/>
    </w:rPr>
  </w:style>
  <w:style w:type="paragraph" w:styleId="para2">
    <w:name w:val="Body Text"/>
    <w:qFormat/>
    <w:basedOn w:val="para0"/>
    <w:pPr>
      <w:ind w:hanging="360"/>
      <w:spacing w:before="360" w:after="180" w:line="37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7"/>
    </w:rPr>
  </w:style>
  <w:style w:type="paragraph" w:styleId="para3">
    <w:name w:val="List"/>
    <w:qFormat/>
    <w:basedOn w:val="para2"/>
    <w:rPr>
      <w:rFonts w:cs="Arial Unicode M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Arial Unicode MS"/>
    </w:rPr>
  </w:style>
  <w:style w:type="paragraph" w:styleId="para6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eastAsia="en-us" w:bidi="ar-sa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8" w:customStyle="1">
    <w:name w:val="Body text (3)1"/>
    <w:qFormat/>
    <w:basedOn w:val="para0"/>
    <w:pPr>
      <w:spacing w:after="360" w:line="24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para9" w:customStyle="1">
    <w:name w:val="Оceсf1нedоeeвe2нedоeeйe9 тf2еe5кeaсf1тf2"/>
    <w:qFormat/>
    <w:basedOn w:val="para0"/>
    <w:pPr>
      <w:spacing w:after="140"/>
    </w:pPr>
    <w:rPr>
      <w:rFonts w:eastAsia="Times New Roman"/>
      <w:lang w:eastAsia="ru-ru"/>
    </w:rPr>
  </w:style>
  <w:style w:type="paragraph" w:styleId="para10" w:customStyle="1">
    <w:name w:val="Table Paragraph"/>
    <w:qFormat/>
    <w:basedOn w:val="para0"/>
  </w:style>
  <w:style w:type="paragraph" w:styleId="para11" w:customStyle="1">
    <w:name w:val="Heading #1"/>
    <w:qFormat/>
    <w:basedOn w:val="para0"/>
    <w:pPr>
      <w:spacing w:before="360" w:after="0" w:line="365" w:lineRule="exact"/>
      <w:jc w:val="both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b/>
      <w:sz w:val="27"/>
    </w:rPr>
  </w:style>
  <w:style w:type="paragraph" w:styleId="para1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 w:customStyle="1">
    <w:name w:val="Body text (3)_"/>
    <w:basedOn w:val="char0"/>
    <w:rPr>
      <w:rFonts w:ascii="Times New Roman" w:hAnsi="Times New Roman" w:cs="Times New Roman"/>
      <w:b/>
      <w:bCs/>
      <w:sz w:val="27"/>
      <w:szCs w:val="27"/>
      <w:shd w:val="clear" w:fill="ffffff"/>
    </w:rPr>
  </w:style>
  <w:style w:type="character" w:styleId="char3" w:customStyle="1">
    <w:name w:val="Body text (3) + Not Bold"/>
    <w:basedOn w:val="char2"/>
    <w:rPr>
      <w:rFonts w:ascii="Times New Roman" w:hAnsi="Times New Roman" w:cs="Times New Roman"/>
      <w:b w:val="0"/>
      <w:bCs w:val="0"/>
      <w:sz w:val="27"/>
      <w:szCs w:val="27"/>
      <w:shd w:val="clear" w:fill="ffffff"/>
    </w:rPr>
  </w:style>
  <w:style w:type="character" w:styleId="char4" w:customStyle="1">
    <w:name w:val="Body text (3)"/>
    <w:basedOn w:val="char2"/>
    <w:rPr>
      <w:rFonts w:ascii="Times New Roman" w:hAnsi="Times New Roman" w:cs="Times New Roman"/>
      <w:b/>
      <w:bCs/>
      <w:sz w:val="27"/>
      <w:szCs w:val="27"/>
      <w:u w:color="auto" w:val="single"/>
      <w:shd w:val="clear" w:fill="ffffff"/>
    </w:rPr>
  </w:style>
  <w:style w:type="character" w:styleId="char5" w:customStyle="1">
    <w:name w:val="Интернет-ссылка"/>
    <w:rPr>
      <w:color w:val="000080"/>
      <w:u w:color="auto" w:val="single"/>
    </w:rPr>
  </w:style>
  <w:style w:type="character" w:styleId="char6" w:customStyle="1">
    <w:name w:val="Маркеры"/>
    <w:rPr>
      <w:rFonts w:ascii="OpenSymbol" w:hAnsi="OpenSymbol" w:eastAsia="OpenSymbol" w:cs="OpenSymbol"/>
    </w:rPr>
  </w:style>
  <w:style w:type="character" w:styleId="char7" w:customStyle="1">
    <w:name w:val="Heading #1_"/>
    <w:basedOn w:val="char0"/>
    <w:rPr>
      <w:rFonts w:ascii="Times New Roman" w:hAnsi="Times New Roman"/>
      <w:b/>
      <w:sz w:val="27"/>
    </w:rPr>
  </w:style>
  <w:style w:type="character" w:styleId="char8" w:customStyle="1">
    <w:name w:val="Heading #1"/>
    <w:basedOn w:val="char7"/>
    <w:rPr>
      <w:rFonts w:ascii="Times New Roman" w:hAnsi="Times New Roman"/>
      <w:b/>
      <w:sz w:val="27"/>
      <w:u w:color="auto" w:val="single"/>
    </w:rPr>
  </w:style>
  <w:style w:type="character" w:styleId="char9" w:customStyle="1">
    <w:name w:val="Body text_"/>
    <w:basedOn w:val="char0"/>
    <w:rPr>
      <w:rFonts w:ascii="Times New Roman" w:hAnsi="Times New Roman"/>
      <w:sz w:val="27"/>
    </w:rPr>
  </w:style>
  <w:style w:type="character" w:styleId="char10" w:customStyle="1">
    <w:name w:val="Основной текст1"/>
    <w:basedOn w:val="char9"/>
    <w:rPr>
      <w:rFonts w:ascii="Times New Roman" w:hAnsi="Times New Roman"/>
      <w:sz w:val="27"/>
      <w:u w:color="auto" w:val="single"/>
      <w:lang w:val="en-us" w:eastAsia="en-us"/>
    </w:rPr>
  </w:style>
  <w:style w:type="character" w:styleId="char11" w:customStyle="1">
    <w:name w:val="Body text + Bold"/>
    <w:basedOn w:val="char9"/>
    <w:rPr>
      <w:rFonts w:ascii="Times New Roman" w:hAnsi="Times New Roman"/>
      <w:b/>
      <w:sz w:val="27"/>
      <w:u w:color="auto" w:val="single"/>
    </w:rPr>
  </w:style>
  <w:style w:type="character" w:styleId="char12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1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 Unicode MS"/>
      <w:sz w:val="28"/>
      <w:szCs w:val="28"/>
    </w:rPr>
  </w:style>
  <w:style w:type="paragraph" w:styleId="para2">
    <w:name w:val="Body Text"/>
    <w:qFormat/>
    <w:basedOn w:val="para0"/>
    <w:pPr>
      <w:ind w:hanging="360"/>
      <w:spacing w:before="360" w:after="180" w:line="37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7"/>
    </w:rPr>
  </w:style>
  <w:style w:type="paragraph" w:styleId="para3">
    <w:name w:val="List"/>
    <w:qFormat/>
    <w:basedOn w:val="para2"/>
    <w:rPr>
      <w:rFonts w:cs="Arial Unicode M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Arial Unicode MS"/>
    </w:rPr>
  </w:style>
  <w:style w:type="paragraph" w:styleId="para6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eastAsia="en-us" w:bidi="ar-sa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8" w:customStyle="1">
    <w:name w:val="Body text (3)1"/>
    <w:qFormat/>
    <w:basedOn w:val="para0"/>
    <w:pPr>
      <w:spacing w:after="360" w:line="24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para9" w:customStyle="1">
    <w:name w:val="Оceсf1нedоeeвe2нedоeeйe9 тf2еe5кeaсf1тf2"/>
    <w:qFormat/>
    <w:basedOn w:val="para0"/>
    <w:pPr>
      <w:spacing w:after="140"/>
    </w:pPr>
    <w:rPr>
      <w:rFonts w:eastAsia="Times New Roman"/>
      <w:lang w:eastAsia="ru-ru"/>
    </w:rPr>
  </w:style>
  <w:style w:type="paragraph" w:styleId="para10" w:customStyle="1">
    <w:name w:val="Table Paragraph"/>
    <w:qFormat/>
    <w:basedOn w:val="para0"/>
  </w:style>
  <w:style w:type="paragraph" w:styleId="para11" w:customStyle="1">
    <w:name w:val="Heading #1"/>
    <w:qFormat/>
    <w:basedOn w:val="para0"/>
    <w:pPr>
      <w:spacing w:before="360" w:after="0" w:line="365" w:lineRule="exact"/>
      <w:jc w:val="both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b/>
      <w:sz w:val="27"/>
    </w:rPr>
  </w:style>
  <w:style w:type="paragraph" w:styleId="para1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 w:customStyle="1">
    <w:name w:val="Body text (3)_"/>
    <w:basedOn w:val="char0"/>
    <w:rPr>
      <w:rFonts w:ascii="Times New Roman" w:hAnsi="Times New Roman" w:cs="Times New Roman"/>
      <w:b/>
      <w:bCs/>
      <w:sz w:val="27"/>
      <w:szCs w:val="27"/>
      <w:shd w:val="clear" w:fill="ffffff"/>
    </w:rPr>
  </w:style>
  <w:style w:type="character" w:styleId="char3" w:customStyle="1">
    <w:name w:val="Body text (3) + Not Bold"/>
    <w:basedOn w:val="char2"/>
    <w:rPr>
      <w:rFonts w:ascii="Times New Roman" w:hAnsi="Times New Roman" w:cs="Times New Roman"/>
      <w:b w:val="0"/>
      <w:bCs w:val="0"/>
      <w:sz w:val="27"/>
      <w:szCs w:val="27"/>
      <w:shd w:val="clear" w:fill="ffffff"/>
    </w:rPr>
  </w:style>
  <w:style w:type="character" w:styleId="char4" w:customStyle="1">
    <w:name w:val="Body text (3)"/>
    <w:basedOn w:val="char2"/>
    <w:rPr>
      <w:rFonts w:ascii="Times New Roman" w:hAnsi="Times New Roman" w:cs="Times New Roman"/>
      <w:b/>
      <w:bCs/>
      <w:sz w:val="27"/>
      <w:szCs w:val="27"/>
      <w:u w:color="auto" w:val="single"/>
      <w:shd w:val="clear" w:fill="ffffff"/>
    </w:rPr>
  </w:style>
  <w:style w:type="character" w:styleId="char5" w:customStyle="1">
    <w:name w:val="Интернет-ссылка"/>
    <w:rPr>
      <w:color w:val="000080"/>
      <w:u w:color="auto" w:val="single"/>
    </w:rPr>
  </w:style>
  <w:style w:type="character" w:styleId="char6" w:customStyle="1">
    <w:name w:val="Маркеры"/>
    <w:rPr>
      <w:rFonts w:ascii="OpenSymbol" w:hAnsi="OpenSymbol" w:eastAsia="OpenSymbol" w:cs="OpenSymbol"/>
    </w:rPr>
  </w:style>
  <w:style w:type="character" w:styleId="char7" w:customStyle="1">
    <w:name w:val="Heading #1_"/>
    <w:basedOn w:val="char0"/>
    <w:rPr>
      <w:rFonts w:ascii="Times New Roman" w:hAnsi="Times New Roman"/>
      <w:b/>
      <w:sz w:val="27"/>
    </w:rPr>
  </w:style>
  <w:style w:type="character" w:styleId="char8" w:customStyle="1">
    <w:name w:val="Heading #1"/>
    <w:basedOn w:val="char7"/>
    <w:rPr>
      <w:rFonts w:ascii="Times New Roman" w:hAnsi="Times New Roman"/>
      <w:b/>
      <w:sz w:val="27"/>
      <w:u w:color="auto" w:val="single"/>
    </w:rPr>
  </w:style>
  <w:style w:type="character" w:styleId="char9" w:customStyle="1">
    <w:name w:val="Body text_"/>
    <w:basedOn w:val="char0"/>
    <w:rPr>
      <w:rFonts w:ascii="Times New Roman" w:hAnsi="Times New Roman"/>
      <w:sz w:val="27"/>
    </w:rPr>
  </w:style>
  <w:style w:type="character" w:styleId="char10" w:customStyle="1">
    <w:name w:val="Основной текст1"/>
    <w:basedOn w:val="char9"/>
    <w:rPr>
      <w:rFonts w:ascii="Times New Roman" w:hAnsi="Times New Roman"/>
      <w:sz w:val="27"/>
      <w:u w:color="auto" w:val="single"/>
      <w:lang w:val="en-us" w:eastAsia="en-us"/>
    </w:rPr>
  </w:style>
  <w:style w:type="character" w:styleId="char11" w:customStyle="1">
    <w:name w:val="Body text + Bold"/>
    <w:basedOn w:val="char9"/>
    <w:rPr>
      <w:rFonts w:ascii="Times New Roman" w:hAnsi="Times New Roman"/>
      <w:b/>
      <w:sz w:val="27"/>
      <w:u w:color="auto" w:val="single"/>
    </w:rPr>
  </w:style>
  <w:style w:type="character" w:styleId="char12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mailto:konfyad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Alexius</cp:lastModifiedBy>
  <cp:revision>18</cp:revision>
  <cp:lastPrinted>2022-01-27T11:40:00Z</cp:lastPrinted>
  <dcterms:created xsi:type="dcterms:W3CDTF">2021-01-21T13:48:00Z</dcterms:created>
  <dcterms:modified xsi:type="dcterms:W3CDTF">2022-02-14T18:10:00Z</dcterms:modified>
</cp:coreProperties>
</file>